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4"/>
        <w:ind w:left="6304" w:right="0" w:firstLine="0"/>
        <w:jc w:val="left"/>
        <w:rPr>
          <w:sz w:val="24"/>
        </w:rPr>
      </w:pPr>
      <w:r>
        <w:rPr>
          <w:sz w:val="24"/>
        </w:rPr>
        <w:t>"El</w:t>
      </w:r>
      <w:r>
        <w:rPr>
          <w:spacing w:val="-7"/>
          <w:sz w:val="24"/>
        </w:rPr>
        <w:t> </w:t>
      </w:r>
      <w:r>
        <w:rPr>
          <w:sz w:val="24"/>
        </w:rPr>
        <w:t>agua,</w:t>
      </w:r>
      <w:r>
        <w:rPr>
          <w:spacing w:val="-4"/>
          <w:sz w:val="24"/>
        </w:rPr>
        <w:t> </w:t>
      </w:r>
      <w:r>
        <w:rPr>
          <w:sz w:val="24"/>
        </w:rPr>
        <w:t>factor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inclusión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social"</w:t>
      </w:r>
    </w:p>
    <w:p>
      <w:pPr>
        <w:pStyle w:val="BodyText"/>
        <w:spacing w:before="184"/>
        <w:rPr>
          <w:sz w:val="24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Nro.6833</w:t>
      </w:r>
    </w:p>
    <w:p>
      <w:pPr>
        <w:pStyle w:val="BodyText"/>
        <w:spacing w:before="298"/>
        <w:ind w:left="112" w:right="105"/>
        <w:jc w:val="both"/>
      </w:pPr>
      <w:r>
        <w:rPr/>
        <w:t>ARTÍCULO</w:t>
      </w:r>
      <w:r>
        <w:rPr>
          <w:spacing w:val="-3"/>
        </w:rPr>
        <w:t> </w:t>
      </w:r>
      <w:r>
        <w:rPr/>
        <w:t>1°:</w:t>
      </w:r>
      <w:r>
        <w:rPr>
          <w:spacing w:val="40"/>
        </w:rPr>
        <w:t> </w:t>
      </w:r>
      <w:r>
        <w:rPr/>
        <w:t>Créase la Reserva de Recurso “La Fidelidad”, de acuerdo con lo esta- blecido en la ley</w:t>
      </w:r>
      <w:r>
        <w:rPr>
          <w:spacing w:val="-4"/>
        </w:rPr>
        <w:t> </w:t>
      </w:r>
      <w:r>
        <w:rPr/>
        <w:t>4358, artículo 6º, apartado V, que comprenderá la totalidad de la superficie que ocupa en la Provincia del Chaco la Estancia “La Fidelidad”, concordante con las siguientes denominaciones catastrales:</w:t>
      </w:r>
    </w:p>
    <w:p>
      <w:pPr>
        <w:pStyle w:val="BodyText"/>
      </w:pPr>
    </w:p>
    <w:p>
      <w:pPr>
        <w:pStyle w:val="BodyText"/>
        <w:ind w:left="1956"/>
      </w:pPr>
      <w:r>
        <w:rPr/>
        <w:t>NOMENCLATURA</w:t>
      </w:r>
      <w:r>
        <w:rPr>
          <w:spacing w:val="-9"/>
        </w:rPr>
        <w:t> </w:t>
      </w:r>
      <w:r>
        <w:rPr/>
        <w:t>CATASTRAL:</w:t>
      </w:r>
      <w:r>
        <w:rPr>
          <w:spacing w:val="-9"/>
        </w:rPr>
        <w:t> </w:t>
      </w:r>
      <w:r>
        <w:rPr/>
        <w:t>Circunscripción</w:t>
      </w:r>
      <w:r>
        <w:rPr>
          <w:spacing w:val="-9"/>
        </w:rPr>
        <w:t> </w:t>
      </w:r>
      <w:r>
        <w:rPr/>
        <w:t>VI,</w:t>
      </w:r>
      <w:r>
        <w:rPr>
          <w:spacing w:val="-6"/>
        </w:rPr>
        <w:t> </w:t>
      </w:r>
      <w:r>
        <w:rPr/>
        <w:t>Parcela</w:t>
      </w:r>
      <w:r>
        <w:rPr>
          <w:spacing w:val="-8"/>
        </w:rPr>
        <w:t> </w:t>
      </w:r>
      <w:r>
        <w:rPr/>
        <w:t>1. SUPERFICIE: 148.903,70 has. Departamento General Güemes.</w:t>
      </w:r>
    </w:p>
    <w:p>
      <w:pPr>
        <w:pStyle w:val="BodyText"/>
        <w:spacing w:before="1"/>
      </w:pPr>
    </w:p>
    <w:p>
      <w:pPr>
        <w:pStyle w:val="BodyText"/>
        <w:ind w:left="112" w:right="107"/>
        <w:jc w:val="both"/>
      </w:pPr>
      <w:r>
        <w:rPr/>
        <w:t>ARTÍCULO</w:t>
      </w:r>
      <w:r>
        <w:rPr>
          <w:spacing w:val="-4"/>
        </w:rPr>
        <w:t> </w:t>
      </w:r>
      <w:r>
        <w:rPr/>
        <w:t>2°:</w:t>
      </w:r>
      <w:r>
        <w:rPr>
          <w:spacing w:val="40"/>
        </w:rPr>
        <w:t> </w:t>
      </w:r>
      <w:r>
        <w:rPr/>
        <w:t>Facúltase al Poder Ejecutivo a la celebración de convenios que resulten pertinentes con quienes mantengan la titularidad del inmueble individualizado, a los efectos del efectivo cumplimiento de la ley 4358. A esta reserva no le será aplicable el artículo 16</w:t>
      </w:r>
      <w:r>
        <w:rPr>
          <w:spacing w:val="40"/>
        </w:rPr>
        <w:t> </w:t>
      </w:r>
      <w:r>
        <w:rPr/>
        <w:t>de la misma.</w:t>
      </w:r>
    </w:p>
    <w:p>
      <w:pPr>
        <w:pStyle w:val="BodyText"/>
      </w:pPr>
    </w:p>
    <w:p>
      <w:pPr>
        <w:pStyle w:val="BodyText"/>
        <w:ind w:left="112" w:right="105"/>
        <w:jc w:val="both"/>
      </w:pPr>
      <w:r>
        <w:rPr/>
        <w:t>ARTÍCULO</w:t>
      </w:r>
      <w:r>
        <w:rPr>
          <w:spacing w:val="-3"/>
        </w:rPr>
        <w:t> </w:t>
      </w:r>
      <w:r>
        <w:rPr/>
        <w:t>3°: Facúltase al Poder Ejecutivo a la de celebración de convenios con el Gobierno Nacional o con otros Gobiernos Provinciales a los efectos de coordinar medidas tendientes a cumplir con la finalidad de la presente ley, como también para la constitución y conformación de un parque interprovincial o nacional que comprenda la superficie descripta en el artículo 1°.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4°: Los gastos que demande el cumplimiento de la presente ley, serán imputados a la partida específica del Presupuesto General de la Provincia.</w:t>
      </w:r>
    </w:p>
    <w:p>
      <w:pPr>
        <w:pStyle w:val="BodyText"/>
        <w:spacing w:before="1"/>
      </w:pPr>
    </w:p>
    <w:p>
      <w:pPr>
        <w:pStyle w:val="BodyText"/>
        <w:ind w:left="112"/>
        <w:jc w:val="both"/>
      </w:pPr>
      <w:r>
        <w:rPr/>
        <w:t>ARTÍCULO</w:t>
      </w:r>
      <w:r>
        <w:rPr>
          <w:spacing w:val="-7"/>
        </w:rPr>
        <w:t> </w:t>
      </w:r>
      <w:r>
        <w:rPr/>
        <w:t>5°:</w:t>
      </w:r>
      <w:r>
        <w:rPr>
          <w:spacing w:val="48"/>
          <w:w w:val="150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7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seis días del mes de julio del año dos mil once.</w:t>
      </w:r>
    </w:p>
    <w:p>
      <w:pPr>
        <w:pStyle w:val="BodyText"/>
      </w:pPr>
    </w:p>
    <w:p>
      <w:pPr>
        <w:pStyle w:val="BodyText"/>
      </w:pPr>
    </w:p>
    <w:p>
      <w:pPr>
        <w:pStyle w:val="BodyText"/>
        <w:tabs>
          <w:tab w:pos="6479" w:val="left" w:leader="none"/>
        </w:tabs>
        <w:ind w:right="742"/>
        <w:jc w:val="center"/>
      </w:pPr>
      <w:r>
        <w:rPr/>
        <w:t>Pablo</w:t>
      </w:r>
      <w:r>
        <w:rPr>
          <w:spacing w:val="-7"/>
        </w:rPr>
        <w:t> </w:t>
      </w:r>
      <w:r>
        <w:rPr/>
        <w:t>L.D.</w:t>
      </w:r>
      <w:r>
        <w:rPr>
          <w:spacing w:val="-6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 w:before="1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line="298" w:lineRule="exact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18"/>
        <w:rPr>
          <w:sz w:val="14"/>
        </w:rPr>
      </w:pPr>
    </w:p>
    <w:p>
      <w:pPr>
        <w:spacing w:before="0"/>
        <w:ind w:left="745" w:right="742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2"/>
        <w:ind w:left="745" w:right="742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744" w:right="742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746" w:right="742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\0006\0008\0003\0003</dc:title>
  <dcterms:created xsi:type="dcterms:W3CDTF">2025-02-06T14:09:12Z</dcterms:created>
  <dcterms:modified xsi:type="dcterms:W3CDTF">2025-02-06T14:09:12Z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2011-08-17T00:00:00Z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